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6667"/>
        <w:gridCol w:w="87"/>
      </w:tblGrid>
      <w:tr w:rsidR="005314B4" w:rsidRPr="005314B4" w:rsidTr="005314B4">
        <w:tc>
          <w:tcPr>
            <w:tcW w:w="3027" w:type="dxa"/>
          </w:tcPr>
          <w:p w:rsidR="005314B4" w:rsidRDefault="005314B4" w:rsidP="005314B4">
            <w:pPr>
              <w:jc w:val="both"/>
              <w:rPr>
                <w:rFonts w:ascii="Times New Roman" w:hAnsi="Times New Roman" w:cs="Times New Roman"/>
                <w:sz w:val="28"/>
              </w:rPr>
            </w:pPr>
          </w:p>
          <w:p w:rsidR="005314B4" w:rsidRDefault="005314B4" w:rsidP="005314B4">
            <w:pPr>
              <w:jc w:val="both"/>
              <w:rPr>
                <w:rFonts w:ascii="Times New Roman" w:hAnsi="Times New Roman" w:cs="Times New Roman"/>
                <w:sz w:val="28"/>
              </w:rPr>
            </w:pPr>
          </w:p>
          <w:p w:rsidR="0012123B" w:rsidRPr="005314B4" w:rsidRDefault="0012123B" w:rsidP="005314B4">
            <w:pPr>
              <w:jc w:val="both"/>
              <w:rPr>
                <w:rFonts w:ascii="Times New Roman" w:hAnsi="Times New Roman" w:cs="Times New Roman"/>
                <w:sz w:val="28"/>
              </w:rPr>
            </w:pPr>
            <w:r w:rsidRPr="005314B4">
              <w:rPr>
                <w:rFonts w:ascii="Times New Roman" w:hAnsi="Times New Roman" w:cs="Times New Roman"/>
                <w:sz w:val="28"/>
              </w:rPr>
              <w:drawing>
                <wp:inline distT="0" distB="0" distL="0" distR="0" wp14:anchorId="60D16305" wp14:editId="5BD09EAA">
                  <wp:extent cx="1785582" cy="1524000"/>
                  <wp:effectExtent l="0" t="0" r="0" b="0"/>
                  <wp:docPr id="5" name="Рисунок 1" descr="Табличка &quot;Пандус&quot; - РЦБ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чка &quot;Пандус&quot; - РЦБУ"/>
                          <pic:cNvPicPr>
                            <a:picLocks noChangeAspect="1" noChangeArrowheads="1"/>
                          </pic:cNvPicPr>
                        </pic:nvPicPr>
                        <pic:blipFill>
                          <a:blip r:embed="rId5" cstate="print"/>
                          <a:srcRect/>
                          <a:stretch>
                            <a:fillRect/>
                          </a:stretch>
                        </pic:blipFill>
                        <pic:spPr bwMode="auto">
                          <a:xfrm>
                            <a:off x="0" y="0"/>
                            <a:ext cx="1808336" cy="1543420"/>
                          </a:xfrm>
                          <a:prstGeom prst="rect">
                            <a:avLst/>
                          </a:prstGeom>
                          <a:noFill/>
                          <a:ln w="9525">
                            <a:noFill/>
                            <a:miter lim="800000"/>
                            <a:headEnd/>
                            <a:tailEnd/>
                          </a:ln>
                        </pic:spPr>
                      </pic:pic>
                    </a:graphicData>
                  </a:graphic>
                </wp:inline>
              </w:drawing>
            </w:r>
          </w:p>
        </w:tc>
        <w:tc>
          <w:tcPr>
            <w:tcW w:w="6754" w:type="dxa"/>
            <w:gridSpan w:val="2"/>
          </w:tcPr>
          <w:p w:rsidR="005314B4" w:rsidRPr="005314B4" w:rsidRDefault="005314B4" w:rsidP="005314B4">
            <w:pPr>
              <w:jc w:val="both"/>
              <w:rPr>
                <w:rFonts w:ascii="Times New Roman" w:hAnsi="Times New Roman" w:cs="Times New Roman"/>
                <w:sz w:val="28"/>
              </w:rPr>
            </w:pPr>
          </w:p>
          <w:p w:rsidR="0012123B" w:rsidRPr="005314B4" w:rsidRDefault="0012123B" w:rsidP="0017544D">
            <w:pPr>
              <w:ind w:firstLine="588"/>
              <w:jc w:val="both"/>
              <w:rPr>
                <w:rFonts w:ascii="Times New Roman" w:hAnsi="Times New Roman" w:cs="Times New Roman"/>
                <w:sz w:val="28"/>
              </w:rPr>
            </w:pPr>
            <w:r w:rsidRPr="005314B4">
              <w:rPr>
                <w:rFonts w:ascii="Times New Roman" w:hAnsi="Times New Roman" w:cs="Times New Roman"/>
                <w:sz w:val="28"/>
              </w:rPr>
              <w:t xml:space="preserve">Відповідно до статті 26 </w:t>
            </w:r>
            <w:hyperlink r:id="rId6" w:anchor="o217" w:history="1">
              <w:r w:rsidRPr="005314B4">
                <w:rPr>
                  <w:rStyle w:val="a3"/>
                  <w:rFonts w:ascii="Times New Roman" w:hAnsi="Times New Roman" w:cs="Times New Roman"/>
                  <w:sz w:val="28"/>
                </w:rPr>
                <w:t xml:space="preserve">Закону України </w:t>
              </w:r>
              <w:r w:rsidR="005314B4">
                <w:rPr>
                  <w:rStyle w:val="a3"/>
                  <w:rFonts w:ascii="Times New Roman" w:hAnsi="Times New Roman" w:cs="Times New Roman"/>
                  <w:sz w:val="28"/>
                </w:rPr>
                <w:t>«</w:t>
              </w:r>
              <w:r w:rsidRPr="005314B4">
                <w:rPr>
                  <w:rStyle w:val="a3"/>
                  <w:rFonts w:ascii="Times New Roman" w:hAnsi="Times New Roman" w:cs="Times New Roman"/>
                  <w:sz w:val="28"/>
                </w:rPr>
                <w:t>Про основи соціальної захищеності осіб з інвалідністю в Україні</w:t>
              </w:r>
              <w:r w:rsidR="005314B4">
                <w:rPr>
                  <w:rStyle w:val="a3"/>
                  <w:rFonts w:ascii="Times New Roman" w:hAnsi="Times New Roman" w:cs="Times New Roman"/>
                  <w:sz w:val="28"/>
                </w:rPr>
                <w:t>»</w:t>
              </w:r>
            </w:hyperlink>
            <w:r w:rsidRPr="005314B4">
              <w:rPr>
                <w:rFonts w:ascii="Times New Roman" w:hAnsi="Times New Roman" w:cs="Times New Roman"/>
                <w:sz w:val="28"/>
              </w:rPr>
              <w:t xml:space="preserve"> органи державної влади, підприємства (об’єднання), установи й організації (незалежно від форм власності і господарювання) зобов’язані створювати умови для безперешкодного доступу осіб з інвалідністю до жилих, громадських і виробничих будинків, споруд, громадського транспорту для вільного пересування у населених пунктах.</w:t>
            </w:r>
          </w:p>
        </w:tc>
      </w:tr>
      <w:tr w:rsidR="005314B4" w:rsidRPr="005314B4" w:rsidTr="005314B4">
        <w:trPr>
          <w:gridAfter w:val="1"/>
          <w:wAfter w:w="87" w:type="dxa"/>
          <w:trHeight w:val="1099"/>
        </w:trPr>
        <w:tc>
          <w:tcPr>
            <w:tcW w:w="9694" w:type="dxa"/>
            <w:gridSpan w:val="2"/>
          </w:tcPr>
          <w:p w:rsidR="005314B4" w:rsidRPr="005314B4" w:rsidRDefault="005314B4" w:rsidP="0017544D">
            <w:pPr>
              <w:ind w:firstLine="783"/>
              <w:jc w:val="both"/>
              <w:rPr>
                <w:rFonts w:ascii="Times New Roman" w:hAnsi="Times New Roman" w:cs="Times New Roman"/>
                <w:sz w:val="28"/>
              </w:rPr>
            </w:pPr>
            <w:r w:rsidRPr="005314B4">
              <w:rPr>
                <w:rFonts w:ascii="Times New Roman" w:hAnsi="Times New Roman" w:cs="Times New Roman"/>
                <w:sz w:val="28"/>
              </w:rPr>
              <w:t xml:space="preserve">Крім того, у січні 2020 року до </w:t>
            </w:r>
            <w:hyperlink r:id="rId7" w:tgtFrame="_blank" w:history="1">
              <w:r w:rsidRPr="005314B4">
                <w:rPr>
                  <w:rStyle w:val="a3"/>
                  <w:rFonts w:ascii="Times New Roman" w:hAnsi="Times New Roman" w:cs="Times New Roman"/>
                  <w:sz w:val="28"/>
                </w:rPr>
                <w:t>Закону України</w:t>
              </w:r>
            </w:hyperlink>
            <w:r w:rsidRPr="005314B4">
              <w:rPr>
                <w:rFonts w:ascii="Times New Roman" w:hAnsi="Times New Roman" w:cs="Times New Roman"/>
                <w:sz w:val="28"/>
              </w:rPr>
              <w:t xml:space="preserve"> </w:t>
            </w:r>
            <w:r>
              <w:rPr>
                <w:rFonts w:ascii="Times New Roman" w:hAnsi="Times New Roman" w:cs="Times New Roman"/>
                <w:sz w:val="28"/>
              </w:rPr>
              <w:t>«</w:t>
            </w:r>
            <w:r w:rsidRPr="005314B4">
              <w:rPr>
                <w:rFonts w:ascii="Times New Roman" w:hAnsi="Times New Roman" w:cs="Times New Roman"/>
                <w:sz w:val="28"/>
              </w:rPr>
              <w:t>Про регулювання містобудівної діяльності</w:t>
            </w:r>
            <w:r>
              <w:rPr>
                <w:rFonts w:ascii="Times New Roman" w:hAnsi="Times New Roman" w:cs="Times New Roman"/>
                <w:sz w:val="28"/>
              </w:rPr>
              <w:t>»</w:t>
            </w:r>
            <w:r w:rsidRPr="005314B4">
              <w:rPr>
                <w:rFonts w:ascii="Times New Roman" w:hAnsi="Times New Roman" w:cs="Times New Roman"/>
                <w:sz w:val="28"/>
              </w:rPr>
              <w:t xml:space="preserve"> </w:t>
            </w:r>
            <w:proofErr w:type="spellStart"/>
            <w:r w:rsidRPr="005314B4">
              <w:rPr>
                <w:rFonts w:ascii="Times New Roman" w:hAnsi="Times New Roman" w:cs="Times New Roman"/>
                <w:sz w:val="28"/>
              </w:rPr>
              <w:t>внесено</w:t>
            </w:r>
            <w:proofErr w:type="spellEnd"/>
            <w:r w:rsidRPr="005314B4">
              <w:rPr>
                <w:rFonts w:ascii="Times New Roman" w:hAnsi="Times New Roman" w:cs="Times New Roman"/>
                <w:sz w:val="28"/>
              </w:rPr>
              <w:t xml:space="preserve"> зміни Законом України № 473-IX </w:t>
            </w:r>
            <w:r w:rsidR="0017544D">
              <w:rPr>
                <w:rFonts w:ascii="Times New Roman" w:hAnsi="Times New Roman" w:cs="Times New Roman"/>
                <w:sz w:val="28"/>
              </w:rPr>
              <w:t>«</w:t>
            </w:r>
            <w:r w:rsidRPr="005314B4">
              <w:rPr>
                <w:rFonts w:ascii="Times New Roman" w:hAnsi="Times New Roman" w:cs="Times New Roman"/>
                <w:sz w:val="28"/>
              </w:rPr>
              <w:t xml:space="preserve">Про внесення змін до Закону України </w:t>
            </w:r>
            <w:r w:rsidR="0017544D">
              <w:rPr>
                <w:rFonts w:ascii="Times New Roman" w:hAnsi="Times New Roman" w:cs="Times New Roman"/>
                <w:sz w:val="28"/>
              </w:rPr>
              <w:t>«</w:t>
            </w:r>
            <w:r w:rsidRPr="005314B4">
              <w:rPr>
                <w:rFonts w:ascii="Times New Roman" w:hAnsi="Times New Roman" w:cs="Times New Roman"/>
                <w:sz w:val="28"/>
              </w:rPr>
              <w:t>Про регулювання містобудівної діяльності</w:t>
            </w:r>
            <w:r w:rsidR="0017544D">
              <w:rPr>
                <w:rFonts w:ascii="Times New Roman" w:hAnsi="Times New Roman" w:cs="Times New Roman"/>
                <w:sz w:val="28"/>
              </w:rPr>
              <w:t>»</w:t>
            </w:r>
            <w:r w:rsidRPr="005314B4">
              <w:rPr>
                <w:rFonts w:ascii="Times New Roman" w:hAnsi="Times New Roman" w:cs="Times New Roman"/>
                <w:sz w:val="28"/>
              </w:rPr>
              <w:t xml:space="preserve"> щодо посилення захисту осіб з інвалідністю та інших </w:t>
            </w:r>
            <w:proofErr w:type="spellStart"/>
            <w:r w:rsidRPr="005314B4">
              <w:rPr>
                <w:rFonts w:ascii="Times New Roman" w:hAnsi="Times New Roman" w:cs="Times New Roman"/>
                <w:sz w:val="28"/>
              </w:rPr>
              <w:t>маломобільних</w:t>
            </w:r>
            <w:proofErr w:type="spellEnd"/>
            <w:r w:rsidRPr="005314B4">
              <w:rPr>
                <w:rFonts w:ascii="Times New Roman" w:hAnsi="Times New Roman" w:cs="Times New Roman"/>
                <w:sz w:val="28"/>
              </w:rPr>
              <w:t xml:space="preserve"> груп населення при здійсненні містобудівної діяльності</w:t>
            </w:r>
            <w:r w:rsidR="0017544D">
              <w:rPr>
                <w:rFonts w:ascii="Times New Roman" w:hAnsi="Times New Roman" w:cs="Times New Roman"/>
                <w:sz w:val="28"/>
              </w:rPr>
              <w:t>»</w:t>
            </w:r>
            <w:r w:rsidRPr="005314B4">
              <w:rPr>
                <w:rFonts w:ascii="Times New Roman" w:hAnsi="Times New Roman" w:cs="Times New Roman"/>
                <w:sz w:val="28"/>
              </w:rPr>
              <w:t>, зокрема, ч</w:t>
            </w:r>
            <w:hyperlink r:id="rId8" w:anchor="n442" w:tgtFrame="_blank" w:history="1">
              <w:r w:rsidRPr="005314B4">
                <w:rPr>
                  <w:rStyle w:val="a3"/>
                  <w:rFonts w:ascii="Times New Roman" w:hAnsi="Times New Roman" w:cs="Times New Roman"/>
                  <w:sz w:val="28"/>
                </w:rPr>
                <w:t>астину четверту</w:t>
              </w:r>
            </w:hyperlink>
            <w:r w:rsidRPr="005314B4">
              <w:rPr>
                <w:rFonts w:ascii="Times New Roman" w:hAnsi="Times New Roman" w:cs="Times New Roman"/>
                <w:sz w:val="28"/>
              </w:rPr>
              <w:t xml:space="preserve"> статті 34 доповнено абзацом другим такого змісту: </w:t>
            </w:r>
            <w:bookmarkStart w:id="0" w:name="n10"/>
            <w:bookmarkEnd w:id="0"/>
            <w:r w:rsidR="0017544D">
              <w:rPr>
                <w:rFonts w:ascii="Times New Roman" w:hAnsi="Times New Roman" w:cs="Times New Roman"/>
                <w:sz w:val="28"/>
              </w:rPr>
              <w:t>«</w:t>
            </w:r>
            <w:r w:rsidRPr="005314B4">
              <w:rPr>
                <w:rFonts w:ascii="Times New Roman" w:hAnsi="Times New Roman" w:cs="Times New Roman"/>
                <w:sz w:val="28"/>
              </w:rPr>
              <w:t xml:space="preserve">Влаштування засобів безперешкодного доступу осіб з інвалідністю та інших </w:t>
            </w:r>
            <w:proofErr w:type="spellStart"/>
            <w:r w:rsidRPr="005314B4">
              <w:rPr>
                <w:rFonts w:ascii="Times New Roman" w:hAnsi="Times New Roman" w:cs="Times New Roman"/>
                <w:sz w:val="28"/>
              </w:rPr>
              <w:t>маломобільних</w:t>
            </w:r>
            <w:proofErr w:type="spellEnd"/>
            <w:r w:rsidRPr="005314B4">
              <w:rPr>
                <w:rFonts w:ascii="Times New Roman" w:hAnsi="Times New Roman" w:cs="Times New Roman"/>
                <w:sz w:val="28"/>
              </w:rPr>
              <w:t xml:space="preserve"> груп населення до будинків, будівель, споруд будь-якого призначення, їх комплексів та частин, об’єктів інженерно-транспортної інфраструктури може здійснюватися без документів, що дають право на виконання будівельних робіт, та за відсутності документа, що засвідчує право власності чи користування земельною ділянкою, з дотриманням вимог законодавства, будівельних норм та правил. Порядок влаштування засобів безперешкодного доступу до об’єктів або їх розумного пристосування встановлюється Кабінетом Міністрів України</w:t>
            </w:r>
            <w:r w:rsidR="0017544D">
              <w:rPr>
                <w:rFonts w:ascii="Times New Roman" w:hAnsi="Times New Roman" w:cs="Times New Roman"/>
                <w:sz w:val="28"/>
              </w:rPr>
              <w:t>»</w:t>
            </w:r>
            <w:r w:rsidRPr="005314B4">
              <w:rPr>
                <w:rFonts w:ascii="Times New Roman" w:hAnsi="Times New Roman" w:cs="Times New Roman"/>
                <w:sz w:val="28"/>
              </w:rPr>
              <w:t>.</w:t>
            </w:r>
          </w:p>
          <w:p w:rsidR="005314B4" w:rsidRPr="005314B4" w:rsidRDefault="005314B4" w:rsidP="0017544D">
            <w:pPr>
              <w:ind w:firstLine="783"/>
              <w:jc w:val="both"/>
              <w:rPr>
                <w:rFonts w:ascii="Times New Roman" w:hAnsi="Times New Roman" w:cs="Times New Roman"/>
                <w:sz w:val="28"/>
              </w:rPr>
            </w:pPr>
            <w:r w:rsidRPr="005314B4">
              <w:rPr>
                <w:rFonts w:ascii="Times New Roman" w:hAnsi="Times New Roman" w:cs="Times New Roman"/>
                <w:sz w:val="28"/>
              </w:rPr>
              <w:t>Тобто, законодавство передбачає можливість введення в експлуатацію самовільно побудованої споруди, яка може будуватись без необхідних проектних документів, але враховує необхідні вимоги доступності.</w:t>
            </w:r>
          </w:p>
          <w:p w:rsidR="005314B4" w:rsidRPr="005314B4" w:rsidRDefault="005314B4" w:rsidP="0017544D">
            <w:pPr>
              <w:ind w:firstLine="783"/>
              <w:jc w:val="both"/>
              <w:rPr>
                <w:rFonts w:ascii="Times New Roman" w:hAnsi="Times New Roman" w:cs="Times New Roman"/>
                <w:sz w:val="28"/>
              </w:rPr>
            </w:pPr>
            <w:r w:rsidRPr="005314B4">
              <w:rPr>
                <w:rFonts w:ascii="Times New Roman" w:hAnsi="Times New Roman" w:cs="Times New Roman"/>
                <w:sz w:val="28"/>
              </w:rPr>
              <w:t xml:space="preserve">Пандус </w:t>
            </w:r>
            <w:r w:rsidR="0017544D">
              <w:rPr>
                <w:rFonts w:ascii="Times New Roman" w:hAnsi="Times New Roman" w:cs="Times New Roman"/>
                <w:sz w:val="28"/>
              </w:rPr>
              <w:t>–</w:t>
            </w:r>
            <w:r w:rsidRPr="005314B4">
              <w:rPr>
                <w:rFonts w:ascii="Times New Roman" w:hAnsi="Times New Roman" w:cs="Times New Roman"/>
                <w:sz w:val="28"/>
              </w:rPr>
              <w:t xml:space="preserve"> це спеціальна конструкція, що представляє собою похилу площину (настил або спуск), що сполучає дві горизонтальні поверхні, які знаходяться на різних рівнях. Призначені пандуси для спуску/підйому інвалідних і дитячих колясок. Пандуси повинні обов’язково мати неслизьку шорстку та рівну поверхню, чітко марковану кольором або фактурою, контрастну відносно суміжних горизонтальних поверхонь. Ширина пандуса при однобічному русі має складати 1,2 м, при двобічному </w:t>
            </w:r>
            <w:r w:rsidR="0017544D">
              <w:rPr>
                <w:rFonts w:ascii="Times New Roman" w:hAnsi="Times New Roman" w:cs="Times New Roman"/>
                <w:sz w:val="28"/>
              </w:rPr>
              <w:t>–</w:t>
            </w:r>
            <w:r w:rsidRPr="005314B4">
              <w:rPr>
                <w:rFonts w:ascii="Times New Roman" w:hAnsi="Times New Roman" w:cs="Times New Roman"/>
                <w:sz w:val="28"/>
              </w:rPr>
              <w:t xml:space="preserve"> 1,8 м.</w:t>
            </w:r>
          </w:p>
          <w:p w:rsidR="005314B4" w:rsidRPr="005314B4" w:rsidRDefault="005314B4" w:rsidP="0017544D">
            <w:pPr>
              <w:ind w:firstLine="783"/>
              <w:jc w:val="both"/>
              <w:rPr>
                <w:rFonts w:ascii="Times New Roman" w:hAnsi="Times New Roman" w:cs="Times New Roman"/>
                <w:sz w:val="28"/>
              </w:rPr>
            </w:pPr>
            <w:r w:rsidRPr="005314B4">
              <w:rPr>
                <w:rFonts w:ascii="Times New Roman" w:hAnsi="Times New Roman" w:cs="Times New Roman"/>
                <w:sz w:val="28"/>
              </w:rPr>
              <w:t>Проектні рішення об</w:t>
            </w:r>
            <w:r w:rsidR="0017544D">
              <w:rPr>
                <w:rFonts w:ascii="Times New Roman" w:hAnsi="Times New Roman" w:cs="Times New Roman"/>
                <w:sz w:val="28"/>
              </w:rPr>
              <w:t>’</w:t>
            </w:r>
            <w:bookmarkStart w:id="1" w:name="_GoBack"/>
            <w:bookmarkEnd w:id="1"/>
            <w:r w:rsidRPr="005314B4">
              <w:rPr>
                <w:rFonts w:ascii="Times New Roman" w:hAnsi="Times New Roman" w:cs="Times New Roman"/>
                <w:sz w:val="28"/>
              </w:rPr>
              <w:t>єктів, доступних для осіб з інвалідністю, не повинні обмежувати умови життєдіяльності інших груп населення, а також ефективність експлуатації будинків, тому при проектуванні об'єктів, доступних для малодоступних груп населення (МГН), повинні бути забезпечені:</w:t>
            </w:r>
          </w:p>
          <w:p w:rsidR="005314B4" w:rsidRPr="0017544D" w:rsidRDefault="005314B4" w:rsidP="0017544D">
            <w:pPr>
              <w:pStyle w:val="aa"/>
              <w:numPr>
                <w:ilvl w:val="0"/>
                <w:numId w:val="2"/>
              </w:numPr>
              <w:ind w:left="0" w:firstLine="783"/>
              <w:jc w:val="both"/>
              <w:rPr>
                <w:rFonts w:ascii="Times New Roman" w:hAnsi="Times New Roman" w:cs="Times New Roman"/>
                <w:sz w:val="28"/>
              </w:rPr>
            </w:pPr>
            <w:r w:rsidRPr="0017544D">
              <w:rPr>
                <w:rFonts w:ascii="Times New Roman" w:hAnsi="Times New Roman" w:cs="Times New Roman"/>
                <w:sz w:val="28"/>
              </w:rPr>
              <w:t xml:space="preserve">доступність місць цільового відвідування і </w:t>
            </w:r>
            <w:proofErr w:type="spellStart"/>
            <w:r w:rsidRPr="0017544D">
              <w:rPr>
                <w:rFonts w:ascii="Times New Roman" w:hAnsi="Times New Roman" w:cs="Times New Roman"/>
                <w:sz w:val="28"/>
              </w:rPr>
              <w:t>безперешкодність</w:t>
            </w:r>
            <w:proofErr w:type="spellEnd"/>
            <w:r w:rsidRPr="0017544D">
              <w:rPr>
                <w:rFonts w:ascii="Times New Roman" w:hAnsi="Times New Roman" w:cs="Times New Roman"/>
                <w:sz w:val="28"/>
              </w:rPr>
              <w:t xml:space="preserve"> переміщення всередині будинків і споруд;</w:t>
            </w:r>
          </w:p>
          <w:p w:rsidR="005314B4" w:rsidRPr="0017544D" w:rsidRDefault="005314B4" w:rsidP="0017544D">
            <w:pPr>
              <w:pStyle w:val="aa"/>
              <w:numPr>
                <w:ilvl w:val="0"/>
                <w:numId w:val="2"/>
              </w:numPr>
              <w:ind w:left="0" w:firstLine="783"/>
              <w:jc w:val="both"/>
              <w:rPr>
                <w:rFonts w:ascii="Times New Roman" w:hAnsi="Times New Roman" w:cs="Times New Roman"/>
                <w:sz w:val="28"/>
              </w:rPr>
            </w:pPr>
            <w:r w:rsidRPr="0017544D">
              <w:rPr>
                <w:rFonts w:ascii="Times New Roman" w:hAnsi="Times New Roman" w:cs="Times New Roman"/>
                <w:sz w:val="28"/>
              </w:rPr>
              <w:t>безпека шляхів руху (у тому числі евакуаційних), а також місць проживання, обслуговування і прикладення праці;</w:t>
            </w:r>
          </w:p>
          <w:p w:rsidR="005314B4" w:rsidRPr="0017544D" w:rsidRDefault="005314B4" w:rsidP="0017544D">
            <w:pPr>
              <w:pStyle w:val="aa"/>
              <w:numPr>
                <w:ilvl w:val="0"/>
                <w:numId w:val="2"/>
              </w:numPr>
              <w:ind w:left="0" w:firstLine="783"/>
              <w:jc w:val="both"/>
              <w:rPr>
                <w:rFonts w:ascii="Times New Roman" w:hAnsi="Times New Roman" w:cs="Times New Roman"/>
                <w:sz w:val="28"/>
              </w:rPr>
            </w:pPr>
            <w:r w:rsidRPr="0017544D">
              <w:rPr>
                <w:rFonts w:ascii="Times New Roman" w:hAnsi="Times New Roman" w:cs="Times New Roman"/>
                <w:sz w:val="28"/>
              </w:rPr>
              <w:t>своєчасне отримання МГН повноцінної і якісної інформації, яка дозволяє орієнтуватися в просторі, використовувати обладнання (у тому числі для самообслуговування), отримувати послуги, брати участь у трудовому і навчальному процесах;</w:t>
            </w:r>
          </w:p>
          <w:p w:rsidR="005314B4" w:rsidRPr="0017544D" w:rsidRDefault="005314B4" w:rsidP="0017544D">
            <w:pPr>
              <w:pStyle w:val="aa"/>
              <w:numPr>
                <w:ilvl w:val="0"/>
                <w:numId w:val="2"/>
              </w:numPr>
              <w:ind w:left="0" w:firstLine="783"/>
              <w:jc w:val="both"/>
              <w:rPr>
                <w:rFonts w:ascii="Times New Roman" w:hAnsi="Times New Roman" w:cs="Times New Roman"/>
                <w:sz w:val="28"/>
              </w:rPr>
            </w:pPr>
            <w:r w:rsidRPr="0017544D">
              <w:rPr>
                <w:rFonts w:ascii="Times New Roman" w:hAnsi="Times New Roman" w:cs="Times New Roman"/>
                <w:sz w:val="28"/>
              </w:rPr>
              <w:t>зручність і комфорт середовища життєдіяльності.</w:t>
            </w:r>
          </w:p>
          <w:p w:rsidR="005314B4" w:rsidRPr="005314B4" w:rsidRDefault="005314B4" w:rsidP="0017544D">
            <w:pPr>
              <w:ind w:firstLine="783"/>
              <w:jc w:val="both"/>
              <w:rPr>
                <w:rFonts w:ascii="Times New Roman" w:hAnsi="Times New Roman" w:cs="Times New Roman"/>
                <w:sz w:val="28"/>
              </w:rPr>
            </w:pPr>
            <w:r w:rsidRPr="005314B4">
              <w:rPr>
                <w:rFonts w:ascii="Times New Roman" w:hAnsi="Times New Roman" w:cs="Times New Roman"/>
                <w:sz w:val="28"/>
              </w:rPr>
              <w:lastRenderedPageBreak/>
              <w:t>Якщо немає можливості дотримати оптимальний ухил пандуса, то необхідно вдатися до таких конструкцій, як гвинтова або складна система.</w:t>
            </w:r>
          </w:p>
          <w:p w:rsidR="005314B4" w:rsidRPr="005314B4" w:rsidRDefault="005314B4" w:rsidP="0017544D">
            <w:pPr>
              <w:ind w:firstLine="783"/>
              <w:jc w:val="both"/>
              <w:rPr>
                <w:rFonts w:ascii="Times New Roman" w:hAnsi="Times New Roman" w:cs="Times New Roman"/>
                <w:sz w:val="28"/>
              </w:rPr>
            </w:pPr>
            <w:r w:rsidRPr="005314B4">
              <w:rPr>
                <w:rFonts w:ascii="Times New Roman" w:hAnsi="Times New Roman" w:cs="Times New Roman"/>
                <w:sz w:val="28"/>
              </w:rPr>
              <w:t xml:space="preserve">Турбота про </w:t>
            </w:r>
            <w:proofErr w:type="spellStart"/>
            <w:r w:rsidRPr="005314B4">
              <w:rPr>
                <w:rFonts w:ascii="Times New Roman" w:hAnsi="Times New Roman" w:cs="Times New Roman"/>
                <w:sz w:val="28"/>
              </w:rPr>
              <w:t>маломобільні</w:t>
            </w:r>
            <w:proofErr w:type="spellEnd"/>
            <w:r w:rsidRPr="005314B4">
              <w:rPr>
                <w:rFonts w:ascii="Times New Roman" w:hAnsi="Times New Roman" w:cs="Times New Roman"/>
                <w:sz w:val="28"/>
              </w:rPr>
              <w:t xml:space="preserve"> групи населення через облаштування будівель пандусами найчастіше зводилася до їх таки встановлення, але за принципом «для галочки». Та згодом виявилося, що такі конструкції навіть здоровій людині подолати не завжди під силу, не те що людині у візку. Установи, організації та підприємства повинні створити для людей з інвалідністю можливість вести незалежний та повноцінний спосіб життя! </w:t>
            </w:r>
          </w:p>
          <w:p w:rsidR="005314B4" w:rsidRPr="005314B4" w:rsidRDefault="005314B4" w:rsidP="0017544D">
            <w:pPr>
              <w:ind w:firstLine="783"/>
              <w:jc w:val="both"/>
              <w:rPr>
                <w:rFonts w:ascii="Times New Roman" w:hAnsi="Times New Roman" w:cs="Times New Roman"/>
                <w:sz w:val="28"/>
              </w:rPr>
            </w:pPr>
            <w:r w:rsidRPr="005314B4">
              <w:rPr>
                <w:rFonts w:ascii="Times New Roman" w:hAnsi="Times New Roman" w:cs="Times New Roman"/>
                <w:sz w:val="28"/>
              </w:rPr>
              <w:t xml:space="preserve">Відділ соціального захисту населення Слобожанської селищної ради звертається до всіх керівників установ, організацій і підприємств, розташованих на території громади, з проханням вжити конкретних заходів для усунення будь-яких перешкод, що утруднюють або унеможливлюють доступ </w:t>
            </w:r>
            <w:proofErr w:type="spellStart"/>
            <w:r w:rsidRPr="005314B4">
              <w:rPr>
                <w:rFonts w:ascii="Times New Roman" w:hAnsi="Times New Roman" w:cs="Times New Roman"/>
                <w:sz w:val="28"/>
              </w:rPr>
              <w:t>маломобільних</w:t>
            </w:r>
            <w:proofErr w:type="spellEnd"/>
            <w:r w:rsidRPr="005314B4">
              <w:rPr>
                <w:rFonts w:ascii="Times New Roman" w:hAnsi="Times New Roman" w:cs="Times New Roman"/>
                <w:sz w:val="28"/>
              </w:rPr>
              <w:t xml:space="preserve"> груп населення до споруд, транспорту та до інших об’єктів і послуг. Адже створення належних умов життя, усунення бар'єрів на шляху осіб з обмеженими фізичними можливостями є головним питанням щодо полегшення їх життя.</w:t>
            </w:r>
          </w:p>
        </w:tc>
      </w:tr>
    </w:tbl>
    <w:p w:rsidR="005314B4" w:rsidRPr="005314B4" w:rsidRDefault="005314B4">
      <w:pPr>
        <w:jc w:val="both"/>
        <w:rPr>
          <w:rFonts w:ascii="Times New Roman" w:hAnsi="Times New Roman" w:cs="Times New Roman"/>
          <w:sz w:val="28"/>
        </w:rPr>
      </w:pPr>
    </w:p>
    <w:sectPr w:rsidR="005314B4" w:rsidRPr="005314B4" w:rsidSect="00AA57FA">
      <w:pgSz w:w="11906" w:h="16838"/>
      <w:pgMar w:top="567"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D5E20"/>
    <w:multiLevelType w:val="multilevel"/>
    <w:tmpl w:val="CABE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E47A82"/>
    <w:multiLevelType w:val="hybridMultilevel"/>
    <w:tmpl w:val="23888E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71"/>
    <w:rsid w:val="000056B9"/>
    <w:rsid w:val="000453E4"/>
    <w:rsid w:val="000916C7"/>
    <w:rsid w:val="0009584F"/>
    <w:rsid w:val="000A2CDE"/>
    <w:rsid w:val="00107877"/>
    <w:rsid w:val="0012123B"/>
    <w:rsid w:val="00157FC9"/>
    <w:rsid w:val="0017544D"/>
    <w:rsid w:val="00223343"/>
    <w:rsid w:val="00266AEA"/>
    <w:rsid w:val="0027185A"/>
    <w:rsid w:val="00284943"/>
    <w:rsid w:val="00286A3A"/>
    <w:rsid w:val="002F45D4"/>
    <w:rsid w:val="00356478"/>
    <w:rsid w:val="003653AB"/>
    <w:rsid w:val="00382B5B"/>
    <w:rsid w:val="0038767B"/>
    <w:rsid w:val="004401CD"/>
    <w:rsid w:val="005314B4"/>
    <w:rsid w:val="00594599"/>
    <w:rsid w:val="005B3D84"/>
    <w:rsid w:val="00630FD4"/>
    <w:rsid w:val="0065340C"/>
    <w:rsid w:val="006B71DC"/>
    <w:rsid w:val="006D1D0B"/>
    <w:rsid w:val="006D2618"/>
    <w:rsid w:val="007343A6"/>
    <w:rsid w:val="00741736"/>
    <w:rsid w:val="00807862"/>
    <w:rsid w:val="00832938"/>
    <w:rsid w:val="00850A33"/>
    <w:rsid w:val="008833BA"/>
    <w:rsid w:val="008C7EEE"/>
    <w:rsid w:val="008E71B0"/>
    <w:rsid w:val="00966319"/>
    <w:rsid w:val="00984FAA"/>
    <w:rsid w:val="00987EAF"/>
    <w:rsid w:val="009B1E71"/>
    <w:rsid w:val="009E462C"/>
    <w:rsid w:val="00A124FB"/>
    <w:rsid w:val="00AA57FA"/>
    <w:rsid w:val="00AF6C95"/>
    <w:rsid w:val="00B62568"/>
    <w:rsid w:val="00BF6BAA"/>
    <w:rsid w:val="00D06EEB"/>
    <w:rsid w:val="00D60FBE"/>
    <w:rsid w:val="00D65AE2"/>
    <w:rsid w:val="00E35388"/>
    <w:rsid w:val="00E83D2C"/>
    <w:rsid w:val="00E843E7"/>
    <w:rsid w:val="00EA58B4"/>
    <w:rsid w:val="00F61612"/>
    <w:rsid w:val="00FA4413"/>
    <w:rsid w:val="00FF3301"/>
    <w:rsid w:val="00FF43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0404"/>
  <w15:docId w15:val="{E417FA7F-5024-4A8C-AA96-21E96790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E71"/>
    <w:rPr>
      <w:color w:val="0000FF"/>
      <w:u w:val="single"/>
    </w:rPr>
  </w:style>
  <w:style w:type="paragraph" w:customStyle="1" w:styleId="rvps2">
    <w:name w:val="rvps2"/>
    <w:basedOn w:val="a"/>
    <w:rsid w:val="009B1E7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9B1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B1E7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B1E71"/>
    <w:rPr>
      <w:rFonts w:ascii="Tahoma" w:hAnsi="Tahoma" w:cs="Tahoma"/>
      <w:sz w:val="16"/>
      <w:szCs w:val="16"/>
    </w:rPr>
  </w:style>
  <w:style w:type="paragraph" w:styleId="a7">
    <w:name w:val="Subtitle"/>
    <w:basedOn w:val="a"/>
    <w:next w:val="a"/>
    <w:link w:val="a8"/>
    <w:uiPriority w:val="11"/>
    <w:qFormat/>
    <w:rsid w:val="000453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ідзаголовок Знак"/>
    <w:basedOn w:val="a0"/>
    <w:link w:val="a7"/>
    <w:uiPriority w:val="11"/>
    <w:rsid w:val="000453E4"/>
    <w:rPr>
      <w:rFonts w:asciiTheme="majorHAnsi" w:eastAsiaTheme="majorEastAsia" w:hAnsiTheme="majorHAnsi" w:cstheme="majorBidi"/>
      <w:i/>
      <w:iCs/>
      <w:color w:val="4F81BD" w:themeColor="accent1"/>
      <w:spacing w:val="15"/>
      <w:sz w:val="24"/>
      <w:szCs w:val="24"/>
    </w:rPr>
  </w:style>
  <w:style w:type="paragraph" w:styleId="a9">
    <w:name w:val="Normal (Web)"/>
    <w:basedOn w:val="a"/>
    <w:uiPriority w:val="99"/>
    <w:unhideWhenUsed/>
    <w:rsid w:val="00EA58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175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4436">
      <w:bodyDiv w:val="1"/>
      <w:marLeft w:val="0"/>
      <w:marRight w:val="0"/>
      <w:marTop w:val="0"/>
      <w:marBottom w:val="0"/>
      <w:divBdr>
        <w:top w:val="none" w:sz="0" w:space="0" w:color="auto"/>
        <w:left w:val="none" w:sz="0" w:space="0" w:color="auto"/>
        <w:bottom w:val="none" w:sz="0" w:space="0" w:color="auto"/>
        <w:right w:val="none" w:sz="0" w:space="0" w:color="auto"/>
      </w:divBdr>
    </w:div>
    <w:div w:id="714235916">
      <w:bodyDiv w:val="1"/>
      <w:marLeft w:val="0"/>
      <w:marRight w:val="0"/>
      <w:marTop w:val="0"/>
      <w:marBottom w:val="0"/>
      <w:divBdr>
        <w:top w:val="none" w:sz="0" w:space="0" w:color="auto"/>
        <w:left w:val="none" w:sz="0" w:space="0" w:color="auto"/>
        <w:bottom w:val="none" w:sz="0" w:space="0" w:color="auto"/>
        <w:right w:val="none" w:sz="0" w:space="0" w:color="auto"/>
      </w:divBdr>
    </w:div>
    <w:div w:id="891697871">
      <w:bodyDiv w:val="1"/>
      <w:marLeft w:val="0"/>
      <w:marRight w:val="0"/>
      <w:marTop w:val="0"/>
      <w:marBottom w:val="0"/>
      <w:divBdr>
        <w:top w:val="none" w:sz="0" w:space="0" w:color="auto"/>
        <w:left w:val="none" w:sz="0" w:space="0" w:color="auto"/>
        <w:bottom w:val="none" w:sz="0" w:space="0" w:color="auto"/>
        <w:right w:val="none" w:sz="0" w:space="0" w:color="auto"/>
      </w:divBdr>
    </w:div>
    <w:div w:id="16657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038-17" TargetMode="External"/><Relationship Id="rId3" Type="http://schemas.openxmlformats.org/officeDocument/2006/relationships/settings" Target="settings.xml"/><Relationship Id="rId7" Type="http://schemas.openxmlformats.org/officeDocument/2006/relationships/hyperlink" Target="https://zakon.rada.gov.ua/laws/show/303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875-1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2661</Words>
  <Characters>1517</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Сінохіна Наталія Олександрівна</cp:lastModifiedBy>
  <cp:revision>3</cp:revision>
  <cp:lastPrinted>2021-05-12T06:04:00Z</cp:lastPrinted>
  <dcterms:created xsi:type="dcterms:W3CDTF">2021-05-12T07:23:00Z</dcterms:created>
  <dcterms:modified xsi:type="dcterms:W3CDTF">2021-05-12T07:25:00Z</dcterms:modified>
</cp:coreProperties>
</file>